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Неонатология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04:25 МСК · База обновлена: 25.07.2026, 04:02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Неонатология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К Вам в отделение патологии новорожденных и недоношенных детей переведена девочка в возрасте 54 суток с диагнозом: Врожденная пневмония; бронхолегочная дисплазия, средней тяжести; желудочное кровотечение; дискинезия ЖКТ; гипербилирубинемия недоношенных; неонатальный холестаз; анемия недоношенных; экстремально низкая масса тела при рождении; недоношенность 29 недель; маловесный для гестационного возраста. До 60 суток проводилось выхаживание в условиях инкубатора, с 60 суток переложена в кроватку с подогревом.</w:t>
      </w:r>
    </w:p>
    <w:p>
      <w:pPr>
        <w:pStyle w:val="Heading3"/>
      </w:pPr>
      <w:r>
        <w:t>1.2. Анамнез заболевания</w:t>
      </w:r>
    </w:p>
    <w:p>
      <w:pPr>
        <w:spacing w:after="58"/>
      </w:pPr>
      <w:r>
        <w:rPr>
          <w:b w:val="0"/>
          <w:i w:val="0"/>
        </w:rPr>
        <w:t>Недоношенная девочка родилась у матери 42 лет на 29 неделе гестации. При рождении: масса тела 710 г, рост 35 см, окружность головы 25 см. Оценка по шкале Апгар 6/7. Реанимационные мероприятия в родильном блоке: продленный вдох, СРАР через лицевую маску. Из родильного зала переведен в ОРИТН. Энтеральное питание начато с 6 часов жизни специализированной смесью для недоношенных детей, в дальнейшем с переходом на грудное молоко. С 3 суток жизни отмечались вздутие живота и срыгивания, ограничивающие возможность наращивания энтерального питания. На 6 сутки - эпизод кровотечения из желудка. Суточный объем энтерального питания (грудное молоко) 170 мл/кг достигнут на 25 сутки. В биохимических анализах крови обращала внимание персистирующая гипофосфатемия, эпизоды гиперкальциемии и гипокальциемии, повышение уровня щелочной фосфатазы.</w:t>
      </w:r>
    </w:p>
    <w:p>
      <w:pPr>
        <w:pStyle w:val="Heading3"/>
      </w:pPr>
      <w:r>
        <w:t>1.3. Соматический анамнез матери</w:t>
      </w:r>
    </w:p>
    <w:p>
      <w:pPr>
        <w:spacing w:after="58"/>
      </w:pPr>
      <w:r>
        <w:rPr>
          <w:b w:val="0"/>
          <w:i w:val="0"/>
        </w:rPr>
        <w:t>Без особенностей</w:t>
      </w:r>
    </w:p>
    <w:p>
      <w:pPr>
        <w:pStyle w:val="Heading3"/>
      </w:pPr>
      <w:r>
        <w:t>1.4. Гинекологический и акушерский анамнез матери</w:t>
      </w:r>
    </w:p>
    <w:p>
      <w:pPr>
        <w:spacing w:after="58"/>
      </w:pPr>
      <w:r>
        <w:rPr>
          <w:b w:val="0"/>
          <w:i w:val="0"/>
        </w:rPr>
        <w:t>1 беременность – роды в срок, +</w:t>
        <w:br/>
        <w:t>2 беременность – роды в срок, +</w:t>
        <w:br/>
        <w:t>3 беременность - настоящая. +</w:t>
        <w:br/>
        <w:t>Течение данной беременности: 1 триместр - токсикоз, 2 триместр - в 16 недель угрожающий выкидыш, фетоплацентарная недостаточность, задержка развития плода, стационарное лечение, 3 триместр – фетоплацентарная недостаточность, задержка развития плода. +</w:t>
        <w:br/>
        <w:t>Роды: 3-е, путем кесарева сечения на сроке 29 недель, в связи с критическим кровотоком в пупочной артерии.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Возраст 65 сутки жизни. Масса тела 1900 г. Находится в кроватке с подогревом. Ребенок при осмотре очень беспокойный, болезненная реакция на прикосновения и смену положения тела. Левую ножку щадит, болезненность при пальпации и отечность левого бедра. Вскармливается грудным молоком. Частично сосет из соски, докармливается через зонд, питание усваивает. Кожные покровы бледно-розовые. Отмечается втяжение межреберий на вдохе, краниотабес, выраженные лобные бугры. Аускультативно дыхание проводится во все отделы легких, хрипов нет. Тоны сердца звучные, ритмичные. Живот доступен пальпации, печень и селезенка не увеличены. Стул, диурез - в норме.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лабораторным методам исследования для установления диагноза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уровня С-реактивного белка в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 с определением уровня кальция, фосфора, щелочной фосфатазы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определение уровня калия в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определение газов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определение концентрации мочевины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клинический анализ крови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определение уровня С-реактивного белка в крови; 2 — биохимический анализ крови с определением уровня кальция, фосфора, щелочной фосфатазы; 6 — клинический анализ крови</w:t>
      </w:r>
    </w:p>
    <w:p>
      <w:pPr>
        <w:ind w:left="504"/>
      </w:pPr>
      <w:r>
        <w:rPr>
          <w:b w:val="0"/>
          <w:i/>
        </w:rPr>
        <w:t>С целью исключения инфекционно-воспалительного заболевания: остеомиелита бедра.</w:t>
        <w:br/>
        <w:br/>
        <w:t>Клиническая лабораторная диагностика. В 2 томах. Том 1. Национальное руководство – М.: ГЭОТАР-Медиа, 2012. Глава 4. Биохимические исследования. Стр. 175-267.</w:t>
        <w:br/>
        <w:br/>
      </w:r>
      <w:hyperlink r:id="rId2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С целью диагностики остеопении недоношенных.</w:t>
        <w:br/>
        <w:br/>
        <w:t>Снижение уровня сывороточного фосфора в сочетании с повышением концентрации ЩФ имеет высокую специфичность для диагноза остеопении недоношенных. Гипофосфатемия часто сопровождается гиперкальциемией и гиперкальциурией, свидетельствующих о недостаточном поступлении фосфора.</w:t>
        <w:br/>
        <w:br/>
        <w:t>Неонатология : национальное руководство : в 2 т. Том 2 / под ред. Н. Н. Володина, Д. Н. Дегтярева. - 2-е изд., перераб. и доп. - Москва : ГЭОТАР-Медиа, 2023 г. - 768 с.</w:t>
        <w:br/>
        <w:br/>
      </w:r>
      <w:hyperlink r:id="rId2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Проводят рентгенологическое исследование, однако рентгенологические признаки появляются у детей раннего возраста лишь на 7-10-й день болезни. В ОАК выявляют лейкоцитоз, сдвиг лейкоцитарной формулы влево, в тяжелых случаях - лейкопению.</w:t>
        <w:br/>
        <w:br/>
        <w:t>Григорьев, К. И. Диагностика и лечение пациентов детского возраста : учебник / К. И. Григорьев. - Москва : ГЭОТАР-Медиа, 2021. - 560 с.</w:t>
        <w:br/>
        <w:br/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Важным инструментальным методом для установления диагноза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компьютерная томография нижних конечностей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ультразвуковое исследование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рентгенография бедренных костей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эхокардиография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рентгенография бедренных костей</w:t>
      </w:r>
    </w:p>
    <w:p>
      <w:pPr>
        <w:ind w:left="504"/>
      </w:pPr>
      <w:r>
        <w:rPr>
          <w:b w:val="0"/>
          <w:i/>
        </w:rPr>
        <w:t>Основным методом диагностики МБКН является рентгенография костей. Рентгенологические признаки остеопении появляются, когда минерализация снижается на 20–40%. Для МБКН характерны разрежение кости, расширение метафизарных ростовых пластинок, разрежение и неровность контуров зон предварительного обызвествления на концах метафизов, субпериостальные разрастания (рахитический периостоз), переломы.</w:t>
        <w:br/>
        <w:br/>
        <w:t>Рентгенологические признаки остеопении можно характеризовать в соответствии с классификацией W.W. Koo и соавт. (1982–1984) (рис. 68-1).</w:t>
        <w:br/>
        <w:br/>
        <w:t>•</w:t>
        <w:tab/>
        <w:t>Стадия 1 - потеря плотности белой линии (зоны предварительного обызвествления) метафиза и истончение кортекса.</w:t>
        <w:br/>
        <w:t>•</w:t>
        <w:tab/>
        <w:t>Стадия 2 - стадия 1 + "чашевидная" форма метафизов (расширение метафизов как в билатеральном, так и в проксимально-дистальном направлении), неровность и изъеденность контуров метафизов.</w:t>
        <w:br/>
        <w:t>•</w:t>
        <w:tab/>
        <w:t>Стадия 3 - переломы на фоне вышеперечисленных признаков.</w:t>
        <w:br/>
        <w:br/>
        <w:t>Неонатология : национальное руководство : в 2 т. Том 2 / под ред. Н. Н. Володина, Д. Н. Дегтярева. - 2-е изд., перераб. и доп. - Москва : ГЭОТАР-Медиа, 2023 г. - 768 с.</w:t>
        <w:br/>
        <w:br/>
      </w:r>
      <w:hyperlink r:id="rId2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Ребенку целесообразно провести дополнительно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определение уровня железа в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уровня витамина D в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нейросонографию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определения концентрации кортизола в крови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исследование уровня витамина D в крови</w:t>
      </w:r>
    </w:p>
    <w:p>
      <w:pPr>
        <w:ind w:left="504"/>
      </w:pPr>
      <w:r>
        <w:rPr>
          <w:b w:val="0"/>
          <w:i/>
        </w:rPr>
        <w:t>Поскольку на формирование костей негативно влияет недостаточная обеспеченность организма витамином D и метаболическая болезнь костей недоношенных может сопровождаться его дефицитом, рекомендуется исследование уровня 25(ОН)D в крови.</w:t>
        <w:br/>
        <w:br/>
        <w:t>Неонатология : национальное руководство : в 2 т. Том 2 / под ред. Н. Н. Володина, Д. Н. Дегтярева. - 2-е изд., перераб. и доп. - Москва : ГЭОТАР-Медиа, 2023 г. - 768 с.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Учитывая полученные данные, у ребенка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Остеомиелит левой бедренной кости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Метаболическая болезнь костей недоношенных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Гипофосфатазия, инфантильная форма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Травматический перелом левой бедренной кости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Метаболическая болезнь костей недоношенных</w:t>
      </w:r>
    </w:p>
    <w:p>
      <w:pPr>
        <w:ind w:left="504"/>
      </w:pPr>
      <w:r>
        <w:rPr>
          <w:b w:val="0"/>
          <w:i/>
        </w:rPr>
        <w:t>У ребенка с факторами риска метаболической болезни костей недоношенных (глубокая недоношенность, очень низкая масса тела при рождении, длительное парентеральное питание) имеются: снижение уровня фосфора и повышение щелочной фосфатазы в биохимическом анализе крови, рентгенологические признаки остеопении недоношенных, отсутствие маркеров инфекционного заболевания (остеомиелита бедра), что является диагностическими признаками остеопении недоношенных.</w:t>
        <w:br/>
        <w:br/>
        <w:t>Метаболическая болезнь костей недоношенных (МБКН) - метаболическое заболевание, характеризующееся изменениями костей вследствие дефицита минеральных веществ, главным образом фосфора и кальция, ассоциированные с недоношенностью.</w:t>
        <w:br/>
        <w:br/>
        <w:t>Этиология МБКН мультифакториальна. Наиболее часто МБКН развивается у детей с массой тела менее 1000 г и родившихся на сроке менее 28 нед. Недостаточное поступление минеральных веществ, прежде всего фосфора и кальция, после рождения недоношенного ребенка имеет наибольшее негативное влияние на минерализацию и рост костей, в меньшей степени в этиологии и патогенезе участвует дефицит витамина D.</w:t>
        <w:br/>
        <w:br/>
        <w:t>Изменения со стороны костной системы обычно развиваются между 2-м и 4-м месяцем жизни. Отмечаются рахитоподобные изменения костей: деформация черепа (долихоцефалия, выступающие лобные бугры, краниотабес), деформация грудной клетки с образованием гаррисоновой борозды, рахитические "четки", эпифизарные утолщения. В выраженных случаях возникают переломы костей. Наиболее часто встречаются переломы ребер, бедренной, лучевой, плечевой и локтевой костей.</w:t>
        <w:br/>
        <w:br/>
        <w:t>Неонатология : национальное руководство : в 2 т. Том 2 / под ред. Н. Н. Володина, Д. Н. Дегтярева. - 2-е изд., перераб. и доп. - Москва : ГЭОТАР-Медиа, 2023 г. - 768 с.</w:t>
        <w:br/>
        <w:br/>
      </w:r>
      <w:hyperlink r:id="rId2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(3)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Для оптимального вскармливания ребенку рекомендуется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молочная смесь на основе аминокислот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сцеженное нативное грудное молоко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грудное молоко с обогатителем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молочная смесь с высоко гидролизованным белком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грудное молоко с обогатителем</w:t>
      </w:r>
    </w:p>
    <w:p>
      <w:pPr>
        <w:ind w:left="504"/>
      </w:pPr>
      <w:r>
        <w:rPr>
          <w:b w:val="0"/>
          <w:i/>
        </w:rPr>
        <w:t>Раннее оптимальное для недоношенного ребенка энтеральное питание [применение обогащенного грудного молока (ОГМ) или специализированных питательных смесей для недоношенных].</w:t>
        <w:br/>
        <w:br/>
        <w:t>Неонатология : национальное руководство : в 2 т. Том 2 / под ред. Н. Н. Володина, Д. Н. Дегтярева. - 2-е изд., перераб. и доп. - Москва : ГЭОТАР-Медиа, 2023 г. - 768 с.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Ребенку показано назначение витамина D в диапазоне +________+ МЕ/сут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200-500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1000-5000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6000-8000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600-700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1000-5000</w:t>
      </w:r>
    </w:p>
    <w:p>
      <w:pPr>
        <w:ind w:left="504"/>
      </w:pPr>
      <w:r>
        <w:rPr>
          <w:b w:val="0"/>
          <w:i/>
        </w:rPr>
        <w:t>Повышенные дозы витамина D (1000–5000 МЕ/сут) показаны при наличии синдрома холестаза.</w:t>
        <w:br/>
        <w:br/>
        <w:t>Неонатология : национальное руководство : в 2 т. Том 2 / под ред. Н. Н. Володина, Д. Н. Дегтярева. - 2-е изд., перераб. и доп. - Москва : ГЭОТАР-Медиа, 2023 г. - 768 с.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У ребенка повышена потребность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в кальции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фосфоре и кальции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калии и хлоре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только в фосфоре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 фосфоре и кальции</w:t>
      </w:r>
    </w:p>
    <w:p>
      <w:pPr>
        <w:ind w:left="504"/>
      </w:pPr>
      <w:r>
        <w:rPr>
          <w:b w:val="0"/>
          <w:i/>
        </w:rPr>
        <w:t>Недостаточное поступление минеральных веществ, прежде всего фосфора и кальция, после рождения недоношенного ребенка имеет наибольшее негативное влияние на минерализацию и рост костей, в меньшей степени в этиологии и патогенезе участвует дефицит витамина D.</w:t>
        <w:br/>
        <w:br/>
        <w:t>Неонатология : национальное руководство : в 2 т. Том 2 / под ред. Н. Н. Володина, Д. Н. Дегтярева. - 2-е изд., перераб. и доп. - Москва : ГЭОТАР-Медиа, 2023 г. - 768 с.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процессе лечения остеопении недоношенных целесообразно обращать внимание на концентрацию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мочевины и креатинина в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натрия и калия в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кальция и фосфора в моче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натрия и калия в моче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кальция и фосфора в моче</w:t>
      </w:r>
    </w:p>
    <w:p>
      <w:pPr>
        <w:ind w:left="504"/>
      </w:pPr>
      <w:r>
        <w:rPr>
          <w:b w:val="0"/>
          <w:i/>
        </w:rPr>
        <w:t>Дефицит поступления фосфора ведет к деминерализации костей, гиперкальциемии и гиперкальциурии, мышечной слабости, иммунодефициту, энергетической недостаточности и множественным нарушениям обмена.</w:t>
        <w:br/>
        <w:br/>
        <w:t>Исследование концентрации фосфора и кальция в крови и разовой утренней пробе мочи может помочь в диагностике дефицита этих электролитов у недоношенного ребенка. Рекомендуется проводить анализы мочи на содержание фосфора и кальция 1–2 раза в неделю для оценки динамики состояния кальций-фосфорного обмена.</w:t>
        <w:br/>
        <w:br/>
        <w:t>Неонатология : национальное руководство : в 2 т. Том 2 / под ред. Н. Н. Володина, Д. Н. Дегтярева. - 2-е изд., перераб. и доп. - Москва : ГЭОТАР-Медиа, 2023 г. - 768 с.</w:t>
        <w:br/>
        <w:br/>
      </w:r>
      <w:hyperlink r:id="rId3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Одним из признаков остеопении недоношенных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втяжение межреберий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расхождение костей черепа по саггитальному шву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увеличенный большой родничок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форма черепа по типу скафоцефалии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втяжение межреберий</w:t>
      </w:r>
    </w:p>
    <w:p>
      <w:pPr>
        <w:ind w:left="504"/>
      </w:pPr>
      <w:r>
        <w:rPr>
          <w:b w:val="0"/>
          <w:i/>
        </w:rPr>
        <w:t>Особенно это важно для детей с БЛД, поскольку умеренные респираторные нарушения; одышка, втяжение межреберий у них часто обусловлены именно остеопенией, а не патологией дыхательной системы.</w:t>
        <w:br/>
        <w:br/>
        <w:t>Неонатология : в 2 т. Т. 1. : учебное пособие / Н. П. Шабалов [и др. ]. - 7-е изд. ,перераб. и доп. - Москва : ГЭОТАР-Медиа, 2023. - 720 с</w:t>
        <w:br/>
        <w:br/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Фактором риска развития остеопении недоношенных у данного ребенка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отслойка нормально расположенной плаценты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развитие ранней анемии недоношенных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питание грудным молоком без обогатителя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гипербилирубинемия недоношенных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питание грудным молоком без обогатителя</w:t>
      </w:r>
    </w:p>
    <w:p>
      <w:pPr>
        <w:ind w:left="504"/>
      </w:pPr>
      <w:r>
        <w:rPr>
          <w:b w:val="0"/>
          <w:i/>
        </w:rPr>
        <w:t>Наибольшее количество случаев остеопении описано у недоношенных детей с бронхолегочной дисплазией (БЛД), у детей с ЭНМТ, находящихся на грудном вскармливании без обогатителей, и у тех недоношенных, которые вскармливались стандартной смесью для доношенных детей.</w:t>
        <w:br/>
        <w:br/>
        <w:t>Неонатология : в 2 т. Т. 1. : учебное пособие / Н. П. Шабалов [и др. ]. - 7-е изд. ,перераб. и доп. - Москва : ГЭОТАР-Медиа, 2023. - 720 с</w:t>
        <w:br/>
        <w:br/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Наиболее оптимальным питанием для недоношенных детей с остеопенией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грудное молоко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молочная смесь на основе гидролизованного белка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грудное молоко с фортификатором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адаптированная молочная смесь для доношенных новорожденных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грудное молоко с фортификатором</w:t>
      </w:r>
    </w:p>
    <w:p>
      <w:pPr>
        <w:ind w:left="504"/>
      </w:pPr>
      <w:r>
        <w:rPr>
          <w:b w:val="0"/>
          <w:i/>
        </w:rPr>
        <w:t>Обогащение грудного молока показано всем недоношенным детям с массой при рождении менее 1500 г до выписки из стационара.</w:t>
        <w:br/>
        <w:br/>
        <w:t>Раннее оптимальное для недоношенного ребенка энтеральное питание [применение обогащенного грудного молока (ОГМ) или специализированных питательных смесей для недоношенных].</w:t>
        <w:br/>
        <w:br/>
        <w:t>Неонатология : в 2 т. Т. 1. : учебное пособие / Н. П. Шабалов [и др. ]. - 7-е изд. ,перераб. и доп. - Москва : ГЭОТАР-Медиа, 2023. - 720 с</w:t>
        <w:br/>
        <w:br/>
      </w:r>
      <w:hyperlink r:id="rId3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Неонатология : национальное руководство : в 2 т. Том 2 / под ред. Н. Н. Володина, Д. Н. Дегтярева. - 2-е изд., перераб. и доп. - Москва : ГЭОТАР-Медиа, 2023 г. - 768 с.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Назначение витамина D недоношенным детям с остеопенией рекомендуется проводить с учетом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рекомендуемой дозы 2000 ЕД в сутки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рекомендуемой дозы 4000 ЕД в сутки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значительно повышенной потребности в витамине D при остеопении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уровня витамина D в крови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уровня витамина D в крови</w:t>
      </w:r>
    </w:p>
    <w:p>
      <w:pPr>
        <w:ind w:left="504"/>
      </w:pPr>
      <w:r>
        <w:rPr>
          <w:b w:val="0"/>
          <w:i/>
        </w:rPr>
        <w:t>Рутинное назначение препаратов витамина D детям с МБКН в дозе более 1000 МЕ/сут не рекомендовано, так как развитие МБКН в большей степени связано с дефицитом поступления кальция и фосфора, и у части недоношенных детей уровень 25(ОН)D в крови может быть нормальным. В то же время детям с признаками МБКН может рекомендоваться исследование 25(ОН)D в крови для индивидуального подбора дозы витамина D.</w:t>
        <w:br/>
        <w:br/>
        <w:t>Неонатология : национальное руководство : в 2 т. Том 2 / под ред. Н. Н. Володина, Д. Н. Дегтярева. - 2-е изд., перераб. и доп. - Москва : ГЭОТАР-Медиа, 2023 г. - 768 с.</w:t>
        <w:br/>
        <w:br/>
      </w:r>
      <w:hyperlink r:id="rId40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Неонатология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hyperlink" Target="https://library.mededtech.ru/rest/documents/ISBN9785970424674/?anchor=paragraph_djjli1#paragraph_djjli1" TargetMode="External"/><Relationship Id="rId23" Type="http://schemas.openxmlformats.org/officeDocument/2006/relationships/hyperlink" Target="https://library.mededtech.ru/rest/documents/ISBN9785970478295/?anchor=paragraph_et81rh#paragraph_et81rh" TargetMode="External"/><Relationship Id="rId24" Type="http://schemas.openxmlformats.org/officeDocument/2006/relationships/hyperlink" Target="https://library.mededtech.ru/rest/documents/ISBN9785970462768/?anchor=paragraph_b5kdd1#paragraph_b5kdd1" TargetMode="External"/><Relationship Id="rId25" Type="http://schemas.openxmlformats.org/officeDocument/2006/relationships/image" Target="media/image7.png"/><Relationship Id="rId26" Type="http://schemas.openxmlformats.org/officeDocument/2006/relationships/hyperlink" Target="https://library.mededtech.ru/rest/documents/ISBN9785970478295/?anchor=paragraph_ea2vo0#paragraph_ea2vo0" TargetMode="External"/><Relationship Id="rId27" Type="http://schemas.openxmlformats.org/officeDocument/2006/relationships/hyperlink" Target="https://library.mededtech.ru/rest/documents/ISBN9785970478295/?anchor=list_item_839bdf#list_item_839bdf" TargetMode="External"/><Relationship Id="rId28" Type="http://schemas.openxmlformats.org/officeDocument/2006/relationships/hyperlink" Target="https://library.mededtech.ru/rest/documents/ISBN9785970478295/?anchor=paragraph_u413ue#paragraph_u413ue" TargetMode="External"/><Relationship Id="rId29" Type="http://schemas.openxmlformats.org/officeDocument/2006/relationships/hyperlink" Target="https://library.mededtech.ru/rest/documents/ISBN9785970478295/?anchor=paragraph_0l5cg0#paragraph_0l5cg0" TargetMode="External"/><Relationship Id="rId30" Type="http://schemas.openxmlformats.org/officeDocument/2006/relationships/hyperlink" Target="https://library.mededtech.ru/rest/documents/ISBN9785970478295/?anchor=paragraph_bs16rv#paragraph_bs16rv" TargetMode="External"/><Relationship Id="rId31" Type="http://schemas.openxmlformats.org/officeDocument/2006/relationships/hyperlink" Target="https://library.mededtech.ru/rest/documents/ISBN9785970478295/?anchor=paragraph_j66b0j#paragraph_j66b0j" TargetMode="External"/><Relationship Id="rId32" Type="http://schemas.openxmlformats.org/officeDocument/2006/relationships/hyperlink" Target="https://library.mededtech.ru/rest/documents/ISBN9785970478295/?anchor=list_item_jj2uq3#list_item_jj2uq3" TargetMode="External"/><Relationship Id="rId33" Type="http://schemas.openxmlformats.org/officeDocument/2006/relationships/hyperlink" Target="https://library.mededtech.ru/rest/documents/ISBN9785970478295/?anchor=paragraph_kn8op4#paragraph_kn8op4" TargetMode="External"/><Relationship Id="rId34" Type="http://schemas.openxmlformats.org/officeDocument/2006/relationships/hyperlink" Target="https://library.mededtech.ru/rest/documents/ISBN9785970478295/?anchor=paragraph_53lr7c#paragraph_53lr7c" TargetMode="External"/><Relationship Id="rId35" Type="http://schemas.openxmlformats.org/officeDocument/2006/relationships/hyperlink" Target="https://library.mededtech.ru/rest/documents/ISBN9785970478295/?anchor=paragraph_4np48b#paragraph_4np48b" TargetMode="External"/><Relationship Id="rId36" Type="http://schemas.openxmlformats.org/officeDocument/2006/relationships/hyperlink" Target="https://library.mededtech.ru/rest/documents/ISBN9785970478882/?anchor=paragraph_oedpjv#paragraph_oedpjv" TargetMode="External"/><Relationship Id="rId37" Type="http://schemas.openxmlformats.org/officeDocument/2006/relationships/hyperlink" Target="https://library.mededtech.ru/rest/documents/ISBN9785970478882/?anchor=paragraph_3u9f1t#paragraph_3u9f1t" TargetMode="External"/><Relationship Id="rId38" Type="http://schemas.openxmlformats.org/officeDocument/2006/relationships/hyperlink" Target="https://library.mededtech.ru/rest/documents/ISBN9785970478882/?anchor=paragraph_ki24oo#paragraph_ki24oo" TargetMode="External"/><Relationship Id="rId39" Type="http://schemas.openxmlformats.org/officeDocument/2006/relationships/image" Target="media/image8.png"/><Relationship Id="rId40" Type="http://schemas.openxmlformats.org/officeDocument/2006/relationships/hyperlink" Target="https://library.mededtech.ru/rest/documents/ISBN9785970478295/?anchor=paragraph_2hlek7#paragraph_2hlek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